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5FF0" w14:textId="77777777" w:rsidR="00A75917" w:rsidRPr="00A75917" w:rsidRDefault="00A75917" w:rsidP="00A75917">
      <w:pPr>
        <w:pStyle w:val="Heading3"/>
        <w:rPr>
          <w:sz w:val="24"/>
          <w:szCs w:val="24"/>
          <w:lang w:val="en-US"/>
        </w:rPr>
      </w:pPr>
      <w:r w:rsidRPr="00A75917">
        <w:rPr>
          <w:sz w:val="24"/>
          <w:szCs w:val="24"/>
          <w:lang w:val="en-US"/>
        </w:rPr>
        <w:t>Reporting template for HELCOM Recommendation 18/4/1997 Managing Wetlands and Freshwater Ecosystems for Retention of Nutrients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78"/>
        <w:gridCol w:w="3588"/>
        <w:gridCol w:w="3095"/>
        <w:gridCol w:w="3487"/>
      </w:tblGrid>
      <w:tr w:rsidR="00A75917" w:rsidRPr="00A75917" w14:paraId="79C9E975" w14:textId="77777777" w:rsidTr="00765466">
        <w:trPr>
          <w:tblHeader/>
        </w:trPr>
        <w:tc>
          <w:tcPr>
            <w:tcW w:w="1354" w:type="pct"/>
            <w:shd w:val="clear" w:color="auto" w:fill="C1E4F5" w:themeFill="accent1" w:themeFillTint="33"/>
          </w:tcPr>
          <w:p w14:paraId="67996DBA" w14:textId="77777777" w:rsidR="00A75917" w:rsidRPr="00A75917" w:rsidRDefault="00A75917" w:rsidP="00765466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Action in Recommendation</w:t>
            </w:r>
          </w:p>
        </w:tc>
        <w:tc>
          <w:tcPr>
            <w:tcW w:w="1286" w:type="pct"/>
            <w:shd w:val="clear" w:color="auto" w:fill="C1E4F5" w:themeFill="accent1" w:themeFillTint="33"/>
          </w:tcPr>
          <w:p w14:paraId="04135603" w14:textId="77777777" w:rsidR="00A75917" w:rsidRPr="00A75917" w:rsidRDefault="00A75917" w:rsidP="00765466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Guiding question for national assessment</w:t>
            </w:r>
          </w:p>
        </w:tc>
        <w:tc>
          <w:tcPr>
            <w:tcW w:w="1109" w:type="pct"/>
            <w:shd w:val="clear" w:color="auto" w:fill="C1E4F5" w:themeFill="accent1" w:themeFillTint="33"/>
          </w:tcPr>
          <w:p w14:paraId="74D7519B" w14:textId="77777777" w:rsidR="00A75917" w:rsidRPr="00A75917" w:rsidRDefault="00A75917" w:rsidP="00765466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National assessment (Accomplished, ongoing, not accomplished, no information, not applicable)</w:t>
            </w:r>
          </w:p>
        </w:tc>
        <w:tc>
          <w:tcPr>
            <w:tcW w:w="1250" w:type="pct"/>
            <w:shd w:val="clear" w:color="auto" w:fill="C1E4F5" w:themeFill="accent1" w:themeFillTint="33"/>
          </w:tcPr>
          <w:p w14:paraId="0362A112" w14:textId="77777777" w:rsidR="00A75917" w:rsidRPr="00A75917" w:rsidRDefault="00A75917" w:rsidP="00765466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Supporting information for national assessment (free text)</w:t>
            </w:r>
          </w:p>
        </w:tc>
      </w:tr>
      <w:tr w:rsidR="00A75917" w:rsidRPr="00A75917" w14:paraId="208B2CE6" w14:textId="77777777" w:rsidTr="00765466">
        <w:tc>
          <w:tcPr>
            <w:tcW w:w="1354" w:type="pct"/>
          </w:tcPr>
          <w:p w14:paraId="520E1701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increased nutrient retention in wetland and freshwater systems should be considered through, e.g.:</w:t>
            </w:r>
          </w:p>
          <w:p w14:paraId="0195519E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proofErr w:type="spell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) restoration of shallow lakes and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wetlands;</w:t>
            </w:r>
            <w:proofErr w:type="gramEnd"/>
          </w:p>
          <w:p w14:paraId="5868BC1D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(ii) large-scale restoration of natural water regimes in drained fens and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bogs;</w:t>
            </w:r>
            <w:proofErr w:type="gramEnd"/>
          </w:p>
          <w:p w14:paraId="45059AB3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(iii) encouragement of low intensity farming practices on fens and bogs used for agricultural purposes (i.e. preservation or re-establishment of natural or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high water</w:t>
            </w:r>
            <w:proofErr w:type="gram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regimes, renunciation of fertilization</w:t>
            </w:r>
          </w:p>
          <w:p w14:paraId="030C9521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and ploughing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);</w:t>
            </w:r>
            <w:proofErr w:type="gramEnd"/>
          </w:p>
          <w:p w14:paraId="14C1CD23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(iv) allowing natural and re-establishing of the meandering of watercourses, inter alia,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taking into account</w:t>
            </w:r>
            <w:proofErr w:type="gram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infrastructure, by means of a combination of green fallowing and the restoration of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watercourses;</w:t>
            </w:r>
            <w:proofErr w:type="gramEnd"/>
          </w:p>
          <w:p w14:paraId="69E76964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(v) introduction of environmentally sound practices for maintenance of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watercourses;</w:t>
            </w:r>
            <w:proofErr w:type="gramEnd"/>
          </w:p>
          <w:p w14:paraId="6DC32294" w14:textId="55AA196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(vi) </w:t>
            </w:r>
            <w:proofErr w:type="spell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programmes</w:t>
            </w:r>
            <w:proofErr w:type="spell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should be developed and action taken to implement the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above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mentioned</w:t>
            </w:r>
            <w:proofErr w:type="gram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measures and to report on the effect of these measures or any other measures taken to reduce nutrient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discharges, action taken by the Contracting Parties, e.g. economic incentives,</w:t>
            </w:r>
          </w:p>
          <w:p w14:paraId="481D1320" w14:textId="690304AA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recommendations</w:t>
            </w:r>
            <w:proofErr w:type="gram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, regulations, agricultural advice, should be reported to the Commission in 1999 and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thereafter every three years.</w:t>
            </w:r>
          </w:p>
          <w:p w14:paraId="1E73862C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86" w:type="pct"/>
          </w:tcPr>
          <w:p w14:paraId="50EF0DC4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Have </w:t>
            </w:r>
            <w:proofErr w:type="spell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programmes</w:t>
            </w:r>
            <w:proofErr w:type="spell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been developed and action taken to increase nutrient retention in wetland and freshwater systems, e.g.</w:t>
            </w:r>
          </w:p>
          <w:p w14:paraId="7DEFF27D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proofErr w:type="spell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) restoration of shallow lakes and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wetlands;</w:t>
            </w:r>
            <w:proofErr w:type="gramEnd"/>
          </w:p>
          <w:p w14:paraId="7936A0E4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(ii) large-scale restoration of natural water regimes in drained fens and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bogs;</w:t>
            </w:r>
            <w:proofErr w:type="gramEnd"/>
          </w:p>
          <w:p w14:paraId="3FC731DB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(iii) encouragement of low intensity farming practices on fens and bogs used for agricultural purposes</w:t>
            </w:r>
          </w:p>
          <w:p w14:paraId="57D06F1B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(i.e. preservation or re-establishment of natural or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high water</w:t>
            </w:r>
            <w:proofErr w:type="gram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regimes, renunciation of fertilization</w:t>
            </w:r>
          </w:p>
          <w:p w14:paraId="724342C3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and ploughing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);</w:t>
            </w:r>
            <w:proofErr w:type="gramEnd"/>
          </w:p>
          <w:p w14:paraId="19651885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(iv) allowing natural and re-establishing of the meandering of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watercourses</w:t>
            </w:r>
            <w:proofErr w:type="gram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, inter alia, taking into</w:t>
            </w:r>
          </w:p>
          <w:p w14:paraId="566A6C86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account the infrastructure, by means of a combination of green fallowing and the restoration of</w:t>
            </w:r>
          </w:p>
          <w:p w14:paraId="4BD23216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watercourses;</w:t>
            </w:r>
            <w:proofErr w:type="gramEnd"/>
          </w:p>
          <w:p w14:paraId="59D854ED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(v) introduction of environmentally sound practices for maintenance of </w:t>
            </w:r>
            <w:proofErr w:type="gram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watercourses;</w:t>
            </w:r>
            <w:proofErr w:type="gramEnd"/>
          </w:p>
          <w:p w14:paraId="5B3EE741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09" w:type="pct"/>
          </w:tcPr>
          <w:p w14:paraId="173A9CAE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proofErr w:type="spellStart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) </w:t>
            </w:r>
          </w:p>
          <w:p w14:paraId="3E99808C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(ii) </w:t>
            </w:r>
          </w:p>
          <w:p w14:paraId="21E563B0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(iii) </w:t>
            </w:r>
          </w:p>
          <w:p w14:paraId="782E0ED5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(iv) </w:t>
            </w:r>
          </w:p>
          <w:p w14:paraId="19FBEE8D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(v) </w:t>
            </w:r>
          </w:p>
          <w:p w14:paraId="70FB63B9" w14:textId="77777777" w:rsidR="00A75917" w:rsidRPr="00A75917" w:rsidRDefault="00A75917" w:rsidP="0076546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(vi) </w:t>
            </w:r>
          </w:p>
        </w:tc>
        <w:tc>
          <w:tcPr>
            <w:tcW w:w="1250" w:type="pct"/>
          </w:tcPr>
          <w:p w14:paraId="772D9B80" w14:textId="77777777" w:rsidR="00A75917" w:rsidRPr="00A75917" w:rsidRDefault="00A75917" w:rsidP="00765466">
            <w:pP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Please provide information on the actions taken e.g. links to </w:t>
            </w:r>
            <w:proofErr w:type="spellStart"/>
            <w:r w:rsidRPr="00A7591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programmes</w:t>
            </w:r>
            <w:proofErr w:type="spellEnd"/>
            <w:r w:rsidRPr="00A7591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, economic incentives,</w:t>
            </w:r>
          </w:p>
          <w:p w14:paraId="2BB381E6" w14:textId="77777777" w:rsidR="00A75917" w:rsidRPr="00A75917" w:rsidRDefault="00A75917" w:rsidP="00765466">
            <w:pP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A7591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recommendations, regulations, agricultural advice </w:t>
            </w:r>
          </w:p>
        </w:tc>
      </w:tr>
    </w:tbl>
    <w:p w14:paraId="0902F14E" w14:textId="77777777" w:rsidR="00886A34" w:rsidRDefault="00886A34"/>
    <w:sectPr w:rsidR="00886A34" w:rsidSect="00A759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02D8" w14:textId="77777777" w:rsidR="00A75917" w:rsidRDefault="00A75917" w:rsidP="00A75917">
      <w:pPr>
        <w:spacing w:after="0" w:line="240" w:lineRule="auto"/>
      </w:pPr>
      <w:r>
        <w:separator/>
      </w:r>
    </w:p>
  </w:endnote>
  <w:endnote w:type="continuationSeparator" w:id="0">
    <w:p w14:paraId="126597D9" w14:textId="77777777" w:rsidR="00A75917" w:rsidRDefault="00A75917" w:rsidP="00A7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0E1E" w14:textId="77777777" w:rsidR="00A75917" w:rsidRDefault="00A75917" w:rsidP="00A75917">
      <w:pPr>
        <w:spacing w:after="0" w:line="240" w:lineRule="auto"/>
      </w:pPr>
      <w:r>
        <w:separator/>
      </w:r>
    </w:p>
  </w:footnote>
  <w:footnote w:type="continuationSeparator" w:id="0">
    <w:p w14:paraId="0F231CC3" w14:textId="77777777" w:rsidR="00A75917" w:rsidRDefault="00A75917" w:rsidP="00A75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17"/>
    <w:rsid w:val="0027744B"/>
    <w:rsid w:val="002E489D"/>
    <w:rsid w:val="002E6B53"/>
    <w:rsid w:val="004A5C88"/>
    <w:rsid w:val="0052597E"/>
    <w:rsid w:val="00613E0F"/>
    <w:rsid w:val="00757DF7"/>
    <w:rsid w:val="00886A34"/>
    <w:rsid w:val="00A75917"/>
    <w:rsid w:val="00C271F6"/>
    <w:rsid w:val="00CA12B7"/>
    <w:rsid w:val="00CB50D3"/>
    <w:rsid w:val="00D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E486"/>
  <w15:chartTrackingRefBased/>
  <w15:docId w15:val="{70375E32-DDA2-40E2-BFF4-61EF19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1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97E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97E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97E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97E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97E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97E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97E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5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5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97E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2597E"/>
    <w:pPr>
      <w:ind w:left="720"/>
      <w:contextualSpacing/>
    </w:pPr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qFormat/>
    <w:rsid w:val="0052597E"/>
    <w:pPr>
      <w:spacing w:before="160"/>
      <w:jc w:val="center"/>
    </w:pPr>
    <w:rPr>
      <w:rFonts w:ascii="Calibri" w:hAnsi="Calibr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97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97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25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9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591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91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75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91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60BAEFEC9164997B4E9AC97CB6B93" ma:contentTypeVersion="6" ma:contentTypeDescription="Create a new document." ma:contentTypeScope="" ma:versionID="3dde82f17b158eec6c4bb2b160dfa2a8">
  <xsd:schema xmlns:xsd="http://www.w3.org/2001/XMLSchema" xmlns:xs="http://www.w3.org/2001/XMLSchema" xmlns:p="http://schemas.microsoft.com/office/2006/metadata/properties" xmlns:ns2="8dbedfd4-3384-4736-8165-baa16622fd33" xmlns:ns3="e93f0458-1e75-421b-8ddc-e920bd00f911" targetNamespace="http://schemas.microsoft.com/office/2006/metadata/properties" ma:root="true" ma:fieldsID="7ca19490d80cbe55a48fe5ab5f902d4d" ns2:_="" ns3:_="">
    <xsd:import namespace="8dbedfd4-3384-4736-8165-baa16622fd33"/>
    <xsd:import namespace="e93f0458-1e75-421b-8ddc-e920bd00f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edfd4-3384-4736-8165-baa16622f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0458-1e75-421b-8ddc-e920bd00f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FD368-354A-4649-A0A2-87563A7CF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edfd4-3384-4736-8165-baa16622fd33"/>
    <ds:schemaRef ds:uri="e93f0458-1e75-421b-8ddc-e920bd00f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4AA9E-25C9-425C-8B34-18215219D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6097-79DA-48A4-939F-A62912AC5A25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e93f0458-1e75-421b-8ddc-e920bd00f911"/>
    <ds:schemaRef ds:uri="http://purl.org/dc/terms/"/>
    <ds:schemaRef ds:uri="http://www.w3.org/XML/1998/namespace"/>
    <ds:schemaRef ds:uri="http://schemas.openxmlformats.org/package/2006/metadata/core-properties"/>
    <ds:schemaRef ds:uri="8dbedfd4-3384-4736-8165-baa16622fd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Kaasinen</dc:creator>
  <cp:keywords/>
  <dc:description/>
  <cp:lastModifiedBy>Susanna Kaasinen</cp:lastModifiedBy>
  <cp:revision>1</cp:revision>
  <dcterms:created xsi:type="dcterms:W3CDTF">2025-06-26T07:10:00Z</dcterms:created>
  <dcterms:modified xsi:type="dcterms:W3CDTF">2025-06-26T07:22:00Z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0x01010082660BAEFEC9164997B4E9AC97CB6B93</vt:lpwstr>
  </property>
</Properties>
</file>